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816A" w14:textId="04180D88" w:rsidR="002D594D" w:rsidRPr="00476FA8" w:rsidRDefault="002D594D" w:rsidP="002D594D">
      <w:pPr>
        <w:jc w:val="center"/>
        <w:rPr>
          <w:b/>
          <w:sz w:val="24"/>
          <w:szCs w:val="24"/>
          <w:lang w:val="kk-KZ"/>
        </w:rPr>
      </w:pPr>
      <w:r w:rsidRPr="002771EA">
        <w:rPr>
          <w:b/>
          <w:sz w:val="24"/>
          <w:szCs w:val="24"/>
          <w:lang w:val="kk-KZ"/>
        </w:rPr>
        <w:t>«</w:t>
      </w:r>
      <w:r w:rsidR="00A51EDE">
        <w:rPr>
          <w:b/>
          <w:sz w:val="24"/>
          <w:szCs w:val="24"/>
          <w:lang w:val="en-US"/>
        </w:rPr>
        <w:t>SQL</w:t>
      </w:r>
      <w:r w:rsidR="00A51EDE">
        <w:rPr>
          <w:b/>
          <w:sz w:val="24"/>
          <w:szCs w:val="24"/>
          <w:lang w:val="kk-KZ"/>
        </w:rPr>
        <w:t xml:space="preserve"> және деректерді талдау</w:t>
      </w:r>
      <w:r w:rsidRPr="00476FA8">
        <w:rPr>
          <w:b/>
          <w:sz w:val="24"/>
          <w:szCs w:val="24"/>
        </w:rPr>
        <w:t xml:space="preserve">» </w:t>
      </w:r>
      <w:r w:rsidRPr="00476FA8">
        <w:rPr>
          <w:b/>
          <w:sz w:val="24"/>
          <w:szCs w:val="24"/>
          <w:lang w:val="kk-KZ"/>
        </w:rPr>
        <w:t xml:space="preserve">курсы бойынша </w:t>
      </w:r>
      <w:r w:rsidR="00A94648" w:rsidRPr="00476FA8">
        <w:rPr>
          <w:b/>
          <w:sz w:val="24"/>
          <w:szCs w:val="24"/>
          <w:lang w:val="kk-KZ"/>
        </w:rPr>
        <w:t>қорытынды</w:t>
      </w:r>
      <w:r w:rsidRPr="00476FA8">
        <w:rPr>
          <w:b/>
          <w:sz w:val="24"/>
          <w:szCs w:val="24"/>
          <w:lang w:val="kk-KZ"/>
        </w:rPr>
        <w:t xml:space="preserve"> бақылаудың бағдарламасы</w:t>
      </w:r>
    </w:p>
    <w:p w14:paraId="519D89C3" w14:textId="77777777" w:rsidR="002D594D" w:rsidRPr="00476FA8" w:rsidRDefault="002D594D" w:rsidP="002D594D">
      <w:pPr>
        <w:jc w:val="center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202</w:t>
      </w:r>
      <w:r w:rsidR="00A94648" w:rsidRPr="00476FA8">
        <w:rPr>
          <w:b/>
          <w:sz w:val="24"/>
          <w:szCs w:val="24"/>
          <w:lang w:val="kk-KZ"/>
        </w:rPr>
        <w:t>1/2022</w:t>
      </w:r>
      <w:r w:rsidRPr="00476FA8">
        <w:rPr>
          <w:b/>
          <w:sz w:val="24"/>
          <w:szCs w:val="24"/>
          <w:lang w:val="kk-KZ"/>
        </w:rPr>
        <w:t xml:space="preserve"> оқу жылы</w:t>
      </w:r>
    </w:p>
    <w:p w14:paraId="23BAD7E8" w14:textId="77777777" w:rsidR="002D594D" w:rsidRPr="00476FA8" w:rsidRDefault="002D594D" w:rsidP="002D594D">
      <w:pPr>
        <w:jc w:val="both"/>
        <w:rPr>
          <w:b/>
          <w:sz w:val="24"/>
          <w:szCs w:val="24"/>
          <w:lang w:val="kk-KZ"/>
        </w:rPr>
      </w:pPr>
    </w:p>
    <w:p w14:paraId="51F99F7E" w14:textId="77777777" w:rsidR="002D594D" w:rsidRPr="00476FA8" w:rsidRDefault="002D594D" w:rsidP="002D594D">
      <w:pPr>
        <w:jc w:val="both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 xml:space="preserve">Факультет </w:t>
      </w:r>
      <w:r w:rsidRPr="00476FA8">
        <w:rPr>
          <w:b/>
          <w:sz w:val="24"/>
          <w:szCs w:val="24"/>
          <w:u w:val="single"/>
          <w:lang w:val="kk-KZ"/>
        </w:rPr>
        <w:t>Ақпараттық технологиялар</w:t>
      </w:r>
    </w:p>
    <w:p w14:paraId="70689829" w14:textId="39CF325B" w:rsidR="002D594D" w:rsidRPr="00476FA8" w:rsidRDefault="002D594D" w:rsidP="002D594D">
      <w:pPr>
        <w:jc w:val="both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 xml:space="preserve">Кафедра </w:t>
      </w:r>
      <w:r w:rsidR="00BA3580" w:rsidRPr="00476FA8">
        <w:rPr>
          <w:b/>
          <w:sz w:val="24"/>
          <w:szCs w:val="24"/>
          <w:u w:val="single"/>
          <w:lang w:val="kk-KZ"/>
        </w:rPr>
        <w:t xml:space="preserve">Жасанды интеллект және </w:t>
      </w:r>
      <w:r w:rsidR="00BA3580" w:rsidRPr="00476FA8">
        <w:rPr>
          <w:b/>
          <w:sz w:val="24"/>
          <w:szCs w:val="24"/>
          <w:u w:val="single"/>
          <w:lang w:val="en-US"/>
        </w:rPr>
        <w:t>Big</w:t>
      </w:r>
      <w:r w:rsidR="00BA3580" w:rsidRPr="00476FA8">
        <w:rPr>
          <w:b/>
          <w:sz w:val="24"/>
          <w:szCs w:val="24"/>
          <w:u w:val="single"/>
        </w:rPr>
        <w:t xml:space="preserve"> </w:t>
      </w:r>
      <w:r w:rsidR="00BA3580" w:rsidRPr="00476FA8">
        <w:rPr>
          <w:b/>
          <w:sz w:val="24"/>
          <w:szCs w:val="24"/>
          <w:u w:val="single"/>
          <w:lang w:val="en-US"/>
        </w:rPr>
        <w:t>Data</w:t>
      </w:r>
    </w:p>
    <w:p w14:paraId="77A2529B" w14:textId="4C4D8042" w:rsidR="002D594D" w:rsidRPr="00A51EDE" w:rsidRDefault="002D594D" w:rsidP="002D594D">
      <w:pPr>
        <w:pStyle w:val="a3"/>
        <w:rPr>
          <w:rFonts w:ascii="Times New Roman" w:hAnsi="Times New Roman"/>
          <w:sz w:val="24"/>
          <w:szCs w:val="24"/>
          <w:lang w:val="kk-KZ" w:eastAsia="ar-SA"/>
        </w:rPr>
      </w:pPr>
      <w:r w:rsidRPr="00476FA8">
        <w:rPr>
          <w:rFonts w:ascii="Times New Roman" w:hAnsi="Times New Roman"/>
          <w:b/>
          <w:bCs/>
          <w:sz w:val="24"/>
          <w:szCs w:val="24"/>
          <w:lang w:val="kk-KZ"/>
        </w:rPr>
        <w:t>Шифр және оқыту бағдарламасының бағдарламасы:</w:t>
      </w:r>
      <w:r w:rsidR="00BA3580" w:rsidRPr="00476FA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A51ED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7М07</w:t>
      </w:r>
      <w:r w:rsidR="002771EA" w:rsidRPr="00D022F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113- </w:t>
      </w:r>
      <w:r w:rsidR="00A51ED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Бизнес талдау </w:t>
      </w:r>
      <w:r w:rsidR="00A51EDE" w:rsidRPr="00A51ED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және Big Data</w:t>
      </w:r>
    </w:p>
    <w:p w14:paraId="2947EBF0" w14:textId="6BE54903" w:rsidR="002D594D" w:rsidRPr="00476FA8" w:rsidRDefault="002D594D" w:rsidP="002D594D">
      <w:pPr>
        <w:jc w:val="both"/>
        <w:rPr>
          <w:bCs/>
          <w:sz w:val="24"/>
          <w:szCs w:val="24"/>
          <w:lang w:val="kk-KZ"/>
        </w:rPr>
      </w:pPr>
      <w:r w:rsidRPr="00476FA8">
        <w:rPr>
          <w:b/>
          <w:bCs/>
          <w:sz w:val="24"/>
          <w:szCs w:val="24"/>
          <w:lang w:val="kk-KZ"/>
        </w:rPr>
        <w:t>Пән атауы:</w:t>
      </w:r>
      <w:r w:rsidRPr="00476FA8">
        <w:rPr>
          <w:bCs/>
          <w:sz w:val="24"/>
          <w:szCs w:val="24"/>
          <w:lang w:val="kk-KZ"/>
        </w:rPr>
        <w:t xml:space="preserve"> </w:t>
      </w:r>
      <w:r w:rsidR="00A51EDE">
        <w:rPr>
          <w:b/>
          <w:sz w:val="24"/>
          <w:szCs w:val="24"/>
          <w:lang w:val="en-US"/>
        </w:rPr>
        <w:t>SQL</w:t>
      </w:r>
      <w:r w:rsidR="00A51EDE">
        <w:rPr>
          <w:b/>
          <w:sz w:val="24"/>
          <w:szCs w:val="24"/>
          <w:lang w:val="kk-KZ"/>
        </w:rPr>
        <w:t xml:space="preserve"> және деректерді талдау</w:t>
      </w:r>
    </w:p>
    <w:p w14:paraId="473311C1" w14:textId="7866AFBF" w:rsidR="002D594D" w:rsidRPr="00476FA8" w:rsidRDefault="002D594D" w:rsidP="002D594D">
      <w:pPr>
        <w:jc w:val="both"/>
        <w:rPr>
          <w:sz w:val="24"/>
          <w:szCs w:val="24"/>
          <w:lang w:val="kk-KZ"/>
        </w:rPr>
      </w:pPr>
      <w:r w:rsidRPr="00476FA8">
        <w:rPr>
          <w:b/>
          <w:bCs/>
          <w:sz w:val="24"/>
          <w:szCs w:val="24"/>
          <w:lang w:val="kk-KZ"/>
        </w:rPr>
        <w:t>Курс</w:t>
      </w:r>
      <w:r w:rsidRPr="00476FA8">
        <w:rPr>
          <w:bCs/>
          <w:sz w:val="24"/>
          <w:szCs w:val="24"/>
          <w:lang w:val="kk-KZ"/>
        </w:rPr>
        <w:t xml:space="preserve"> </w:t>
      </w:r>
      <w:r w:rsidR="00D022FF" w:rsidRPr="00476FA8">
        <w:rPr>
          <w:bCs/>
          <w:sz w:val="24"/>
          <w:szCs w:val="24"/>
          <w:lang w:val="kk-KZ"/>
        </w:rPr>
        <w:t>1</w:t>
      </w:r>
    </w:p>
    <w:p w14:paraId="0D3D0277" w14:textId="6788FAC1" w:rsidR="002D594D" w:rsidRPr="00476FA8" w:rsidRDefault="002D594D" w:rsidP="002D594D">
      <w:pPr>
        <w:jc w:val="both"/>
        <w:rPr>
          <w:b/>
          <w:sz w:val="24"/>
          <w:szCs w:val="24"/>
          <w:lang w:val="kk-KZ" w:eastAsia="ar-SA"/>
        </w:rPr>
      </w:pPr>
      <w:r w:rsidRPr="00476FA8">
        <w:rPr>
          <w:b/>
          <w:sz w:val="24"/>
          <w:szCs w:val="24"/>
          <w:lang w:val="kk-KZ" w:eastAsia="ar-SA"/>
        </w:rPr>
        <w:t>Оқытушы:</w:t>
      </w:r>
      <w:r w:rsidR="00D022FF" w:rsidRPr="00476FA8">
        <w:rPr>
          <w:b/>
          <w:sz w:val="24"/>
          <w:szCs w:val="24"/>
          <w:lang w:val="kk-KZ" w:eastAsia="ar-SA"/>
        </w:rPr>
        <w:t xml:space="preserve"> </w:t>
      </w:r>
      <w:r w:rsidR="00A51EDE">
        <w:rPr>
          <w:b/>
          <w:sz w:val="24"/>
          <w:szCs w:val="24"/>
          <w:lang w:val="kk-KZ" w:eastAsia="ar-SA"/>
        </w:rPr>
        <w:t>Акылаев Ж.А.</w:t>
      </w:r>
    </w:p>
    <w:p w14:paraId="7894518A" w14:textId="6198B63E" w:rsidR="00A94648" w:rsidRPr="00476FA8" w:rsidRDefault="002D594D" w:rsidP="002D594D">
      <w:pPr>
        <w:rPr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 xml:space="preserve">Оқыту пәнінің </w:t>
      </w:r>
      <w:r w:rsidR="00891A46" w:rsidRPr="00476FA8">
        <w:rPr>
          <w:b/>
          <w:sz w:val="24"/>
          <w:szCs w:val="24"/>
          <w:lang w:val="kk-KZ"/>
        </w:rPr>
        <w:t>қорытынды</w:t>
      </w:r>
      <w:r w:rsidRPr="00476FA8">
        <w:rPr>
          <w:b/>
          <w:sz w:val="24"/>
          <w:szCs w:val="24"/>
          <w:lang w:val="kk-KZ"/>
        </w:rPr>
        <w:t xml:space="preserve"> бақылауының формасы</w:t>
      </w:r>
      <w:r w:rsidRPr="00476FA8">
        <w:rPr>
          <w:sz w:val="24"/>
          <w:szCs w:val="24"/>
          <w:lang w:val="kk-KZ"/>
        </w:rPr>
        <w:t xml:space="preserve">-  </w:t>
      </w:r>
      <w:r w:rsidR="004E5E61" w:rsidRPr="00476FA8">
        <w:rPr>
          <w:sz w:val="24"/>
          <w:szCs w:val="24"/>
          <w:lang w:val="kk-KZ"/>
        </w:rPr>
        <w:t>ауызша</w:t>
      </w:r>
      <w:r w:rsidRPr="00476FA8">
        <w:rPr>
          <w:sz w:val="24"/>
          <w:szCs w:val="24"/>
          <w:lang w:val="kk-KZ"/>
        </w:rPr>
        <w:t>: дәстүрлі –сұрақ, жауап. Емтихан формасы-синхронды</w:t>
      </w:r>
      <w:r w:rsidR="00A94648" w:rsidRPr="00476FA8">
        <w:rPr>
          <w:sz w:val="24"/>
          <w:szCs w:val="24"/>
          <w:lang w:val="kk-KZ"/>
        </w:rPr>
        <w:t xml:space="preserve">, </w:t>
      </w:r>
      <w:r w:rsidR="00891A46" w:rsidRPr="00476FA8">
        <w:rPr>
          <w:sz w:val="24"/>
          <w:szCs w:val="24"/>
          <w:lang w:val="kk-KZ"/>
        </w:rPr>
        <w:t>о</w:t>
      </w:r>
      <w:r w:rsidR="00A94648" w:rsidRPr="00476FA8">
        <w:rPr>
          <w:sz w:val="24"/>
          <w:szCs w:val="24"/>
          <w:lang w:val="kk-KZ"/>
        </w:rPr>
        <w:t>флайн</w:t>
      </w:r>
    </w:p>
    <w:p w14:paraId="6D0911D1" w14:textId="77777777" w:rsidR="002D594D" w:rsidRPr="00476FA8" w:rsidRDefault="00A94648" w:rsidP="002D594D">
      <w:pPr>
        <w:rPr>
          <w:sz w:val="24"/>
          <w:szCs w:val="24"/>
          <w:lang w:val="kk-KZ"/>
        </w:rPr>
      </w:pPr>
      <w:r w:rsidRPr="00476FA8">
        <w:rPr>
          <w:sz w:val="24"/>
          <w:szCs w:val="24"/>
          <w:lang w:val="kk-KZ"/>
        </w:rPr>
        <w:t>Емтихан дайындалған емтихан кестесінде көрсетілген аудиторияда өтеді.</w:t>
      </w:r>
    </w:p>
    <w:p w14:paraId="0FFD7457" w14:textId="77777777" w:rsidR="002D594D" w:rsidRPr="00476FA8" w:rsidRDefault="002D594D" w:rsidP="00AC0971">
      <w:pPr>
        <w:rPr>
          <w:sz w:val="24"/>
          <w:szCs w:val="24"/>
          <w:lang w:val="kk-KZ"/>
        </w:rPr>
      </w:pPr>
    </w:p>
    <w:p w14:paraId="0964F95D" w14:textId="176E488C" w:rsidR="00994A43" w:rsidRPr="00476FA8" w:rsidRDefault="00994A43" w:rsidP="00476FA8">
      <w:pPr>
        <w:jc w:val="both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Ұзақтығы</w:t>
      </w:r>
      <w:r w:rsidR="00BB3E70" w:rsidRPr="00476FA8">
        <w:rPr>
          <w:b/>
          <w:sz w:val="24"/>
          <w:szCs w:val="24"/>
          <w:lang w:val="kk-KZ"/>
        </w:rPr>
        <w:t xml:space="preserve"> – </w:t>
      </w:r>
      <w:r w:rsidR="00476FA8" w:rsidRPr="00476FA8">
        <w:rPr>
          <w:bCs/>
          <w:sz w:val="24"/>
          <w:szCs w:val="24"/>
          <w:lang w:val="kk-KZ"/>
        </w:rPr>
        <w:t>студенттің жауап</w:t>
      </w:r>
      <w:r w:rsidR="002771EA">
        <w:rPr>
          <w:bCs/>
          <w:sz w:val="24"/>
          <w:szCs w:val="24"/>
          <w:lang w:val="kk-KZ"/>
        </w:rPr>
        <w:t xml:space="preserve"> </w:t>
      </w:r>
      <w:r w:rsidR="00476FA8" w:rsidRPr="00476FA8">
        <w:rPr>
          <w:bCs/>
          <w:sz w:val="24"/>
          <w:szCs w:val="24"/>
          <w:lang w:val="kk-KZ"/>
        </w:rPr>
        <w:t>бергеніне қарай</w:t>
      </w:r>
      <w:r w:rsidR="00476FA8">
        <w:rPr>
          <w:bCs/>
          <w:sz w:val="24"/>
          <w:szCs w:val="24"/>
          <w:lang w:val="kk-KZ"/>
        </w:rPr>
        <w:t>.</w:t>
      </w:r>
    </w:p>
    <w:p w14:paraId="01BF0A67" w14:textId="77777777" w:rsidR="00BB3E70" w:rsidRPr="00476FA8" w:rsidRDefault="00BB3E70" w:rsidP="00936E25">
      <w:pPr>
        <w:ind w:firstLine="567"/>
        <w:jc w:val="both"/>
        <w:rPr>
          <w:sz w:val="24"/>
          <w:szCs w:val="24"/>
          <w:lang w:val="kk-KZ"/>
        </w:rPr>
      </w:pPr>
    </w:p>
    <w:p w14:paraId="18FECBF1" w14:textId="77777777" w:rsidR="00BB3E70" w:rsidRPr="00476FA8" w:rsidRDefault="00BB3E70" w:rsidP="00936E25">
      <w:pPr>
        <w:ind w:firstLine="567"/>
        <w:jc w:val="both"/>
        <w:rPr>
          <w:sz w:val="24"/>
          <w:szCs w:val="24"/>
          <w:lang w:val="kk-KZ"/>
        </w:rPr>
      </w:pPr>
    </w:p>
    <w:p w14:paraId="01E28AB7" w14:textId="77777777" w:rsidR="00BB3E70" w:rsidRPr="00476FA8" w:rsidRDefault="00BB3E70" w:rsidP="00936E25">
      <w:pPr>
        <w:ind w:firstLine="567"/>
        <w:jc w:val="both"/>
        <w:rPr>
          <w:sz w:val="24"/>
          <w:szCs w:val="24"/>
          <w:lang w:val="kk-KZ"/>
        </w:rPr>
      </w:pPr>
    </w:p>
    <w:p w14:paraId="6AF02E66" w14:textId="0D08B52E" w:rsidR="00994A43" w:rsidRPr="00476FA8" w:rsidRDefault="00936E25" w:rsidP="00936E25">
      <w:pPr>
        <w:ind w:firstLine="567"/>
        <w:jc w:val="both"/>
        <w:rPr>
          <w:sz w:val="24"/>
          <w:szCs w:val="24"/>
          <w:lang w:val="kk-KZ"/>
        </w:rPr>
      </w:pPr>
      <w:r w:rsidRPr="00476FA8">
        <w:rPr>
          <w:sz w:val="24"/>
          <w:szCs w:val="24"/>
          <w:lang w:val="kk-KZ"/>
        </w:rPr>
        <w:t>Емтихан билетінде 3 сұрақ болады: 2 сұрақ теория бойынша,1 сұрақ практикалық тапсырма. Әрбір сұрақтың тұсында жақшаның ішіне пайыздық мөлшерде көрсетілген сәйкес максималды бағасы жазылады.</w:t>
      </w:r>
    </w:p>
    <w:p w14:paraId="1B30E76F" w14:textId="77777777" w:rsidR="00936E25" w:rsidRPr="00476FA8" w:rsidRDefault="00936E25" w:rsidP="004D0319">
      <w:pPr>
        <w:rPr>
          <w:b/>
          <w:sz w:val="24"/>
          <w:szCs w:val="24"/>
          <w:lang w:val="kk-KZ"/>
        </w:rPr>
      </w:pPr>
    </w:p>
    <w:p w14:paraId="3E2B58C7" w14:textId="77777777" w:rsidR="004D0319" w:rsidRPr="00476FA8" w:rsidRDefault="004D0319" w:rsidP="00891A46">
      <w:pPr>
        <w:ind w:firstLine="567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ЕМТИХАН ТӘРТІБІ</w:t>
      </w:r>
    </w:p>
    <w:p w14:paraId="1FF9A0C3" w14:textId="77777777" w:rsidR="00891A46" w:rsidRPr="00476FA8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алушы 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="00FD37BF"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 кестесінде көрсетілген уақыттан </w:t>
      </w:r>
      <w:r w:rsidR="00BB3E70" w:rsidRPr="00476FA8">
        <w:rPr>
          <w:rFonts w:ascii="Times New Roman" w:hAnsi="Times New Roman" w:cs="Times New Roman"/>
          <w:sz w:val="24"/>
          <w:szCs w:val="24"/>
          <w:lang w:val="kk-KZ"/>
        </w:rPr>
        <w:t>20 минут</w:t>
      </w:r>
      <w:r w:rsidR="00FD37BF"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3E70" w:rsidRPr="00476FA8">
        <w:rPr>
          <w:rFonts w:ascii="Times New Roman" w:hAnsi="Times New Roman" w:cs="Times New Roman"/>
          <w:sz w:val="24"/>
          <w:szCs w:val="24"/>
          <w:lang w:val="kk-KZ"/>
        </w:rPr>
        <w:t>бұрын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 келуі керек.</w:t>
      </w:r>
    </w:p>
    <w:p w14:paraId="469923D8" w14:textId="77777777" w:rsidR="00FD37BF" w:rsidRPr="00476FA8" w:rsidRDefault="00EC0D1A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D37BF" w:rsidRPr="00476FA8">
        <w:rPr>
          <w:rFonts w:ascii="Times New Roman" w:hAnsi="Times New Roman" w:cs="Times New Roman"/>
          <w:sz w:val="24"/>
          <w:szCs w:val="24"/>
          <w:lang w:val="kk-KZ"/>
        </w:rPr>
        <w:t>ешігіп келген білім алушы емтиханға кіргізілмейді.</w:t>
      </w:r>
    </w:p>
    <w:p w14:paraId="7C00E87C" w14:textId="77777777" w:rsidR="00891A46" w:rsidRPr="00476FA8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sz w:val="24"/>
          <w:szCs w:val="24"/>
          <w:lang w:val="kk-KZ"/>
        </w:rPr>
        <w:t>өзімен бірге өзінің жеке төлқұжатын, қалам мен қарындаш алып келуі керек.</w:t>
      </w:r>
    </w:p>
    <w:p w14:paraId="49E3E724" w14:textId="77777777" w:rsidR="00891A46" w:rsidRPr="00476FA8" w:rsidRDefault="00891A46" w:rsidP="00891A46">
      <w:pPr>
        <w:pStyle w:val="a4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санитарлық норманы сақтау мақсатында бетпердесі </w:t>
      </w:r>
      <w:r w:rsidRPr="00476FA8">
        <w:rPr>
          <w:rFonts w:ascii="Times New Roman" w:hAnsi="Times New Roman" w:cs="Times New Roman"/>
          <w:sz w:val="24"/>
          <w:szCs w:val="24"/>
        </w:rPr>
        <w:t>(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>маскасы) болуы керек.</w:t>
      </w:r>
    </w:p>
    <w:p w14:paraId="472720ED" w14:textId="77777777" w:rsidR="00891A46" w:rsidRPr="00476FA8" w:rsidRDefault="00891A46" w:rsidP="00891A46">
      <w:pPr>
        <w:pStyle w:val="Default"/>
        <w:numPr>
          <w:ilvl w:val="0"/>
          <w:numId w:val="31"/>
        </w:numPr>
        <w:ind w:left="1134" w:hanging="425"/>
        <w:jc w:val="both"/>
        <w:rPr>
          <w:bCs/>
          <w:lang w:val="kk-KZ"/>
        </w:rPr>
      </w:pPr>
      <w:r w:rsidRPr="00476FA8">
        <w:rPr>
          <w:lang w:val="kk-KZ"/>
        </w:rPr>
        <w:t xml:space="preserve">емтихан барысында смартфондарды, калькуляторларды,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  <w:r w:rsidR="00FD37BF" w:rsidRPr="00476FA8">
        <w:rPr>
          <w:lang w:val="kk-KZ"/>
        </w:rPr>
        <w:t>о</w:t>
      </w:r>
      <w:r w:rsidRPr="00476FA8">
        <w:rPr>
          <w:lang w:val="kk-KZ"/>
        </w:rPr>
        <w:t>сы айтылған ескертулерді бұзған жағдайда акт құрылып білім алушы емтиханнан шығарылып жіберіледі. Және пәннің емтихан ведомостіне «F» (қанағаттандырарлықсыз немесе қанағаттанарлық емес) бағасы қойылады.</w:t>
      </w:r>
    </w:p>
    <w:p w14:paraId="4326FD90" w14:textId="77777777" w:rsidR="00FD37BF" w:rsidRPr="00476FA8" w:rsidRDefault="00FD37BF" w:rsidP="00AC097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DA5281" w14:textId="77777777" w:rsidR="00AC0971" w:rsidRPr="00476FA8" w:rsidRDefault="00191708" w:rsidP="00AC097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76FA8">
        <w:rPr>
          <w:rFonts w:ascii="Times New Roman" w:hAnsi="Times New Roman"/>
          <w:b/>
          <w:sz w:val="24"/>
          <w:szCs w:val="24"/>
          <w:lang w:val="kk-KZ"/>
        </w:rPr>
        <w:t>Емтихан кезінде студенттің іс-әрекеті</w:t>
      </w:r>
    </w:p>
    <w:p w14:paraId="579C0CDB" w14:textId="77777777" w:rsidR="00FD37BF" w:rsidRPr="00476FA8" w:rsidRDefault="00FD37BF" w:rsidP="00AC097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DD0527" w14:textId="0931D312" w:rsidR="0026564B" w:rsidRPr="00476FA8" w:rsidRDefault="00FD37BF" w:rsidP="0026564B">
      <w:pPr>
        <w:pStyle w:val="a4"/>
        <w:numPr>
          <w:ilvl w:val="0"/>
          <w:numId w:val="3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sz w:val="24"/>
          <w:szCs w:val="24"/>
          <w:lang w:val="kk-KZ"/>
        </w:rPr>
        <w:t>емтиханның бастал</w:t>
      </w:r>
      <w:r w:rsidR="0047765C"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ған 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>уақыт</w:t>
      </w:r>
      <w:r w:rsidR="0047765C" w:rsidRPr="00476FA8">
        <w:rPr>
          <w:rFonts w:ascii="Times New Roman" w:hAnsi="Times New Roman" w:cs="Times New Roman"/>
          <w:sz w:val="24"/>
          <w:szCs w:val="24"/>
          <w:lang w:val="kk-KZ"/>
        </w:rPr>
        <w:t>ында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 оқытушылар келу парағында білім алушыларды </w:t>
      </w:r>
      <w:r w:rsidR="0047765C"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біртіндеп аудиторияға кіргізіп, </w:t>
      </w:r>
      <w:r w:rsidR="0026564B" w:rsidRPr="00476FA8">
        <w:rPr>
          <w:rFonts w:ascii="Times New Roman" w:hAnsi="Times New Roman" w:cs="Times New Roman"/>
          <w:sz w:val="24"/>
          <w:szCs w:val="24"/>
          <w:lang w:val="kk-KZ"/>
        </w:rPr>
        <w:t>келу парағына қол қойдырады. Одан кейін билетті алғаннан кейін ара қашықтықты сақтай отырып отырғызады.</w:t>
      </w:r>
    </w:p>
    <w:p w14:paraId="4A11FDA9" w14:textId="577B1D59" w:rsidR="00FD37BF" w:rsidRPr="00476FA8" w:rsidRDefault="00FD37BF" w:rsidP="00D612DE">
      <w:pPr>
        <w:pStyle w:val="Default"/>
        <w:numPr>
          <w:ilvl w:val="0"/>
          <w:numId w:val="31"/>
        </w:numPr>
        <w:ind w:left="567" w:firstLine="0"/>
        <w:jc w:val="both"/>
        <w:rPr>
          <w:lang w:val="kk-KZ"/>
        </w:rPr>
      </w:pPr>
      <w:r w:rsidRPr="00476FA8">
        <w:rPr>
          <w:lang w:val="kk-KZ"/>
        </w:rPr>
        <w:t xml:space="preserve">емтихан билетінің сұрақтарына </w:t>
      </w:r>
      <w:r w:rsidR="0047765C" w:rsidRPr="00476FA8">
        <w:rPr>
          <w:lang w:val="kk-KZ"/>
        </w:rPr>
        <w:t>30</w:t>
      </w:r>
      <w:r w:rsidR="00EC3023" w:rsidRPr="00476FA8">
        <w:rPr>
          <w:lang w:val="kk-KZ"/>
        </w:rPr>
        <w:t xml:space="preserve"> мин дайындалып </w:t>
      </w:r>
      <w:r w:rsidRPr="00476FA8">
        <w:rPr>
          <w:lang w:val="kk-KZ"/>
        </w:rPr>
        <w:t xml:space="preserve">жауап </w:t>
      </w:r>
      <w:r w:rsidR="00EC3023" w:rsidRPr="00476FA8">
        <w:rPr>
          <w:lang w:val="kk-KZ"/>
        </w:rPr>
        <w:t>береді</w:t>
      </w:r>
      <w:r w:rsidR="0026564B" w:rsidRPr="00476FA8">
        <w:rPr>
          <w:lang w:val="kk-KZ"/>
        </w:rPr>
        <w:t>.</w:t>
      </w:r>
    </w:p>
    <w:p w14:paraId="2F3D13EA" w14:textId="77777777" w:rsidR="00E35799" w:rsidRPr="00476FA8" w:rsidRDefault="00E35799" w:rsidP="00AC0971">
      <w:pPr>
        <w:jc w:val="center"/>
        <w:rPr>
          <w:b/>
          <w:sz w:val="24"/>
          <w:szCs w:val="24"/>
          <w:lang w:val="kk-KZ"/>
        </w:rPr>
      </w:pPr>
    </w:p>
    <w:p w14:paraId="5531B17A" w14:textId="77777777" w:rsidR="00974750" w:rsidRPr="00476FA8" w:rsidRDefault="00974750" w:rsidP="00974750">
      <w:pPr>
        <w:jc w:val="center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Емтихан сұрақтары құрылған тақырыптар (бағдарлама)</w:t>
      </w:r>
    </w:p>
    <w:p w14:paraId="0D550D7E" w14:textId="74AEF150" w:rsidR="007223D3" w:rsidRPr="00476FA8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szCs w:val="24"/>
          <w:lang w:val="kk-KZ"/>
        </w:rPr>
        <w:t xml:space="preserve">Деректер қорына кіріспе және қай жерде,қандай мақсатта қолдану,Оракл компаниясы туралы мәліметтермен таныстыру және компанияларда қалай қолдану </w:t>
      </w:r>
    </w:p>
    <w:p w14:paraId="4682516F" w14:textId="46757E56" w:rsidR="00F9764E" w:rsidRPr="00476FA8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lang w:val="kk-KZ"/>
        </w:rPr>
        <w:t>Деректер қорына кіріспе. Басқа деректер қорынан айырмашылығы және мүмкіндіктері.Oracle мәліметтер базасын жеке компьютерға орнату және PL SQL 14 версиясын оранату. Мәліметтер базасын басқару.</w:t>
      </w:r>
    </w:p>
    <w:p w14:paraId="453DA1DE" w14:textId="77777777" w:rsidR="00A51EDE" w:rsidRP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szCs w:val="24"/>
          <w:lang w:val="kk-KZ"/>
        </w:rPr>
        <w:t>Oracle жүйеде қалай көрінеді және PL SQL бағдарламалау тілі.</w:t>
      </w:r>
    </w:p>
    <w:p w14:paraId="488E2D3E" w14:textId="689A4484" w:rsidR="00A51EDE" w:rsidRP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szCs w:val="24"/>
          <w:lang w:val="kk-KZ"/>
        </w:rPr>
      </w:pPr>
      <w:r w:rsidRPr="00A51EDE">
        <w:rPr>
          <w:rFonts w:ascii="Times New Roman" w:hAnsi="Times New Roman" w:cs="Times New Roman"/>
          <w:szCs w:val="24"/>
          <w:lang w:val="kk-KZ"/>
        </w:rPr>
        <w:t>Oracle / PLSQL функциялары(6 түрімен таныстыру)</w:t>
      </w:r>
      <w:r>
        <w:rPr>
          <w:rFonts w:ascii="Times New Roman" w:hAnsi="Times New Roman" w:cs="Times New Roman"/>
          <w:szCs w:val="24"/>
          <w:lang w:val="kk-KZ"/>
        </w:rPr>
        <w:t xml:space="preserve"> </w:t>
      </w:r>
      <w:r w:rsidRPr="00A51EDE">
        <w:rPr>
          <w:rFonts w:ascii="Times New Roman" w:hAnsi="Times New Roman" w:cs="Times New Roman"/>
          <w:szCs w:val="24"/>
          <w:lang w:val="kk-KZ"/>
        </w:rPr>
        <w:t>Аналитикалық,Трансформация, Таңбалы ,Еншілес,сандық және матиматикалық,уақыт/мезгіл)</w:t>
      </w:r>
    </w:p>
    <w:p w14:paraId="7D161D4A" w14:textId="77777777" w:rsidR="00A51EDE" w:rsidRPr="00A51EDE" w:rsidRDefault="00A51EDE" w:rsidP="00974750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szCs w:val="24"/>
          <w:lang w:val="kk-KZ"/>
        </w:rPr>
        <w:lastRenderedPageBreak/>
        <w:t>Oracl</w:t>
      </w:r>
      <w:r>
        <w:rPr>
          <w:rFonts w:ascii="Times New Roman" w:hAnsi="Times New Roman" w:cs="Times New Roman"/>
          <w:szCs w:val="24"/>
          <w:lang w:val="kk-KZ"/>
        </w:rPr>
        <w:t xml:space="preserve">e сұранысының(запрос) түрлері. </w:t>
      </w:r>
    </w:p>
    <w:p w14:paraId="3A35E3EA" w14:textId="546E967E" w:rsidR="00974750" w:rsidRPr="00A51EDE" w:rsidRDefault="00A51EDE" w:rsidP="00974750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szCs w:val="24"/>
          <w:lang w:val="kk-KZ"/>
        </w:rPr>
        <w:t>Oracle PL / SQL бағдарламалау және мәліметтер турин жеке жеке тоқталу.</w:t>
      </w:r>
    </w:p>
    <w:p w14:paraId="75A50C4B" w14:textId="0BDFB419" w:rsid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Курсорлар және оның түрлері. Курсорларға параметрлерді беру және түрлендіру.</w:t>
      </w:r>
    </w:p>
    <w:p w14:paraId="200CDA75" w14:textId="79A427B0" w:rsid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Кестелер мен вьюшкалар және олардың құрылымы</w:t>
      </w:r>
    </w:p>
    <w:p w14:paraId="299375C9" w14:textId="7AC8E22B" w:rsid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Oracle дерекқорларын басқару       (администрирования)</w:t>
      </w:r>
    </w:p>
    <w:p w14:paraId="0799890E" w14:textId="31EAA92E" w:rsid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Oracle қолданатын кілттер, индекстер, ерекше шектеулер. Запростарды жылдамдату индекстарымен танысу.</w:t>
      </w:r>
    </w:p>
    <w:p w14:paraId="12691312" w14:textId="6D193951" w:rsid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Шартты операторлар және оның түрлері</w:t>
      </w:r>
    </w:p>
    <w:p w14:paraId="7BB8BBED" w14:textId="79CB8F7D" w:rsid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Oracle қолданатын циклдар және оның жиі кездесетін түрлері</w:t>
      </w:r>
    </w:p>
    <w:p w14:paraId="421659EC" w14:textId="7012A60B" w:rsid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Oracle қолданатын салыстыру операторлары</w:t>
      </w:r>
    </w:p>
    <w:p w14:paraId="1678DEFF" w14:textId="01907805" w:rsid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Oracle қолданатын шартты операторлар және тригерлар</w:t>
      </w:r>
    </w:p>
    <w:p w14:paraId="1E5912F0" w14:textId="4ECA6890" w:rsidR="00A51EDE" w:rsidRPr="00A51EDE" w:rsidRDefault="00A51EDE" w:rsidP="00A51EDE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lang w:val="kk-KZ" w:eastAsia="ar-SA"/>
        </w:rPr>
      </w:pPr>
      <w:r w:rsidRPr="00A51EDE">
        <w:rPr>
          <w:rFonts w:ascii="Times New Roman" w:hAnsi="Times New Roman" w:cs="Times New Roman"/>
          <w:bCs/>
          <w:lang w:val="kk-KZ" w:eastAsia="ar-SA"/>
        </w:rPr>
        <w:t>Процедуралар және оның түрлері.</w:t>
      </w:r>
    </w:p>
    <w:p w14:paraId="31904E4B" w14:textId="6E84914B" w:rsidR="00A51EDE" w:rsidRPr="00A51EDE" w:rsidRDefault="00A51EDE" w:rsidP="00A51EDE">
      <w:pPr>
        <w:rPr>
          <w:bCs/>
          <w:lang w:val="kk-KZ" w:eastAsia="ar-SA"/>
        </w:rPr>
      </w:pPr>
    </w:p>
    <w:p w14:paraId="407563CC" w14:textId="77777777" w:rsidR="00974750" w:rsidRPr="00476FA8" w:rsidRDefault="00974750" w:rsidP="00974750">
      <w:pPr>
        <w:jc w:val="center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ҰСЫНЫЛҒАН ӘДЕБИЕТТЕР</w:t>
      </w:r>
    </w:p>
    <w:p w14:paraId="05DE165A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Душан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Петкович</w:t>
      </w:r>
      <w:r w:rsidRPr="00A51E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 Microsoft</w:t>
      </w:r>
      <w:proofErr w:type="gramEnd"/>
      <w:r w:rsidRPr="00A51E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SQL Server. – </w:t>
      </w:r>
      <w:proofErr w:type="gram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51E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.:</w:t>
      </w:r>
      <w:proofErr w:type="gramEnd"/>
      <w:r w:rsidRPr="00A51E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2012. </w:t>
      </w:r>
    </w:p>
    <w:p w14:paraId="340C3C69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Дейт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Вв</w:t>
      </w:r>
      <w:bookmarkStart w:id="0" w:name="_GoBack"/>
      <w:bookmarkEnd w:id="0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едение в системы баз данных. – М.: Вильямс, 2010. – 848 с.</w:t>
      </w:r>
    </w:p>
    <w:p w14:paraId="54764715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Карпова,   </w:t>
      </w:r>
      <w:proofErr w:type="gram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Сергеевна. Базы данных: модели, разработка, </w:t>
      </w:r>
      <w:proofErr w:type="gram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реализация:[</w:t>
      </w:r>
      <w:proofErr w:type="gram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Учеб. пособие]. -</w:t>
      </w:r>
      <w:proofErr w:type="gram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СПб.:</w:t>
      </w:r>
      <w:proofErr w:type="gram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Питер,2011</w:t>
      </w:r>
    </w:p>
    <w:p w14:paraId="5891E0A5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Конноли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Т., </w:t>
      </w: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Бегг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К., </w:t>
      </w: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Страчан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Базы данных. Проектирование, реализация и сопровождение. – М.- С./П.- К., 2015</w:t>
      </w:r>
    </w:p>
    <w:p w14:paraId="6F6408FC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Грачев А.Ю. </w:t>
      </w: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Informix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. Введение в СУБД. - М.: "Диалог-МИФИ", 2013</w:t>
      </w:r>
    </w:p>
    <w:p w14:paraId="6BB98CBA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Грабер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Введение в SQL. - М.: ЛОРИ, 2013</w:t>
      </w:r>
    </w:p>
    <w:p w14:paraId="4858AC0A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Вербовецкий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proofErr w:type="gram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 Александрович. </w:t>
      </w:r>
      <w:proofErr w:type="gram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Основы  проектирования</w:t>
      </w:r>
      <w:proofErr w:type="gram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баз  данных.- М.: Радио и связь,2015</w:t>
      </w:r>
    </w:p>
    <w:p w14:paraId="0CCCC7D7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http://www.firststeps.ru/sql/oracle/oracle1.html </w:t>
      </w:r>
    </w:p>
    <w:p w14:paraId="271B2C2B" w14:textId="77777777" w:rsidR="00A51ED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https://univer.kaznu.kz/ сайты </w:t>
      </w: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арқылы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УМКД </w:t>
      </w: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кіру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мүмкіншілігі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  </w:t>
      </w:r>
    </w:p>
    <w:p w14:paraId="20AC04B5" w14:textId="587A35C7" w:rsidR="00F9764E" w:rsidRPr="00A51EDE" w:rsidRDefault="00A51EDE" w:rsidP="00A51EDE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ORACLE PL/SQL для профессионалов </w:t>
      </w: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С.Фейерштейн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Е.Прибыл</w:t>
      </w:r>
      <w:proofErr w:type="spellEnd"/>
      <w:r w:rsidRPr="00A51EDE">
        <w:rPr>
          <w:rFonts w:ascii="Times New Roman" w:hAnsi="Times New Roman" w:cs="Times New Roman"/>
          <w:color w:val="000000" w:themeColor="text1"/>
          <w:sz w:val="24"/>
          <w:szCs w:val="24"/>
        </w:rPr>
        <w:t>, 2014 год</w:t>
      </w:r>
    </w:p>
    <w:p w14:paraId="210A1C82" w14:textId="2E76DA93" w:rsidR="00974750" w:rsidRPr="00476FA8" w:rsidRDefault="00974750" w:rsidP="0026564B">
      <w:pPr>
        <w:jc w:val="both"/>
        <w:rPr>
          <w:b/>
          <w:color w:val="000000"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Бағалау критерийлері (</w:t>
      </w:r>
      <w:r w:rsidRPr="00476FA8">
        <w:rPr>
          <w:b/>
          <w:color w:val="000000"/>
          <w:sz w:val="24"/>
          <w:szCs w:val="24"/>
          <w:lang w:val="kk-KZ"/>
        </w:rPr>
        <w:t xml:space="preserve">Баға межесі): </w:t>
      </w:r>
    </w:p>
    <w:p w14:paraId="1BF47A66" w14:textId="77777777" w:rsidR="00974750" w:rsidRPr="00476FA8" w:rsidRDefault="00974750" w:rsidP="00974750">
      <w:pPr>
        <w:jc w:val="both"/>
        <w:rPr>
          <w:b/>
          <w:color w:val="000000"/>
          <w:sz w:val="24"/>
          <w:szCs w:val="24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476FA8" w14:paraId="2C80AB39" w14:textId="77777777" w:rsidTr="0026182B">
        <w:tc>
          <w:tcPr>
            <w:tcW w:w="3256" w:type="dxa"/>
            <w:vMerge w:val="restart"/>
          </w:tcPr>
          <w:p w14:paraId="0D08665C" w14:textId="77777777" w:rsidR="00974750" w:rsidRPr="00476FA8" w:rsidRDefault="00974750" w:rsidP="0026182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76FA8">
              <w:rPr>
                <w:color w:val="000000"/>
                <w:sz w:val="24"/>
                <w:szCs w:val="24"/>
              </w:rPr>
              <w:t>«</w:t>
            </w:r>
            <w:r w:rsidRPr="00476FA8">
              <w:rPr>
                <w:color w:val="000000"/>
                <w:sz w:val="24"/>
                <w:szCs w:val="24"/>
                <w:lang w:val="kk-KZ"/>
              </w:rPr>
              <w:t>өте жақсы</w:t>
            </w:r>
            <w:r w:rsidRPr="00476FA8">
              <w:rPr>
                <w:color w:val="000000"/>
                <w:sz w:val="24"/>
                <w:szCs w:val="24"/>
              </w:rPr>
              <w:t>» -</w:t>
            </w:r>
          </w:p>
        </w:tc>
        <w:tc>
          <w:tcPr>
            <w:tcW w:w="996" w:type="dxa"/>
            <w:vAlign w:val="center"/>
          </w:tcPr>
          <w:p w14:paraId="164B9FF5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14:paraId="6E4426E2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14:paraId="4794A4BC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95-100</w:t>
            </w:r>
          </w:p>
        </w:tc>
      </w:tr>
      <w:tr w:rsidR="00974750" w:rsidRPr="00476FA8" w14:paraId="2379F214" w14:textId="77777777" w:rsidTr="0026182B">
        <w:tc>
          <w:tcPr>
            <w:tcW w:w="3256" w:type="dxa"/>
            <w:vMerge/>
          </w:tcPr>
          <w:p w14:paraId="5F3564E6" w14:textId="77777777" w:rsidR="00974750" w:rsidRPr="00476FA8" w:rsidRDefault="00974750" w:rsidP="002618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E6CB86E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14:paraId="4BEC0484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14:paraId="38760A67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90-94</w:t>
            </w:r>
          </w:p>
        </w:tc>
      </w:tr>
      <w:tr w:rsidR="00974750" w:rsidRPr="00476FA8" w14:paraId="233501BF" w14:textId="77777777" w:rsidTr="0026182B">
        <w:tc>
          <w:tcPr>
            <w:tcW w:w="3256" w:type="dxa"/>
            <w:vMerge w:val="restart"/>
          </w:tcPr>
          <w:p w14:paraId="1848A8E2" w14:textId="77777777" w:rsidR="00974750" w:rsidRPr="00476FA8" w:rsidRDefault="00974750" w:rsidP="0026182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76FA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76FA8">
              <w:rPr>
                <w:color w:val="000000"/>
                <w:sz w:val="24"/>
                <w:szCs w:val="24"/>
              </w:rPr>
              <w:t>жақсы</w:t>
            </w:r>
            <w:proofErr w:type="spellEnd"/>
            <w:r w:rsidRPr="00476FA8">
              <w:rPr>
                <w:color w:val="000000"/>
                <w:sz w:val="24"/>
                <w:szCs w:val="24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3683A1BF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14:paraId="72E0E657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14:paraId="38F17C29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85-89</w:t>
            </w:r>
          </w:p>
        </w:tc>
      </w:tr>
      <w:tr w:rsidR="00974750" w:rsidRPr="00476FA8" w14:paraId="01319848" w14:textId="77777777" w:rsidTr="0026182B">
        <w:tc>
          <w:tcPr>
            <w:tcW w:w="3256" w:type="dxa"/>
            <w:vMerge/>
          </w:tcPr>
          <w:p w14:paraId="4390AF7D" w14:textId="77777777" w:rsidR="00974750" w:rsidRPr="00476FA8" w:rsidRDefault="00974750" w:rsidP="002618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0A9239B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14:paraId="13C7B8F1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14:paraId="700EC1E6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80-84</w:t>
            </w:r>
          </w:p>
        </w:tc>
      </w:tr>
      <w:tr w:rsidR="00974750" w:rsidRPr="00476FA8" w14:paraId="7F7A6537" w14:textId="77777777" w:rsidTr="0026182B">
        <w:tc>
          <w:tcPr>
            <w:tcW w:w="3256" w:type="dxa"/>
            <w:vMerge/>
          </w:tcPr>
          <w:p w14:paraId="66ABC238" w14:textId="77777777" w:rsidR="00974750" w:rsidRPr="00476FA8" w:rsidRDefault="00974750" w:rsidP="002618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646C3CC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14:paraId="43D24C2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14:paraId="75C0C60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75-79</w:t>
            </w:r>
          </w:p>
        </w:tc>
      </w:tr>
      <w:tr w:rsidR="00974750" w:rsidRPr="00476FA8" w14:paraId="452D0E15" w14:textId="77777777" w:rsidTr="0026182B">
        <w:tc>
          <w:tcPr>
            <w:tcW w:w="3256" w:type="dxa"/>
            <w:vMerge/>
          </w:tcPr>
          <w:p w14:paraId="1589EB4A" w14:textId="77777777" w:rsidR="00974750" w:rsidRPr="00476FA8" w:rsidRDefault="00974750" w:rsidP="002618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714368B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14:paraId="0D7D6956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14:paraId="1F3EBEDE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70-74</w:t>
            </w:r>
          </w:p>
        </w:tc>
      </w:tr>
      <w:tr w:rsidR="00974750" w:rsidRPr="00476FA8" w14:paraId="6605377B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6C8227BF" w14:textId="77777777" w:rsidR="00974750" w:rsidRPr="00476FA8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76FA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76FA8">
              <w:rPr>
                <w:color w:val="000000"/>
                <w:sz w:val="24"/>
                <w:szCs w:val="24"/>
              </w:rPr>
              <w:t>қанағаттанарлық</w:t>
            </w:r>
            <w:proofErr w:type="spellEnd"/>
            <w:r w:rsidRPr="00476FA8">
              <w:rPr>
                <w:color w:val="000000"/>
                <w:sz w:val="24"/>
                <w:szCs w:val="24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583BCEB5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14:paraId="0975ED91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14:paraId="0C27982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65-69</w:t>
            </w:r>
          </w:p>
        </w:tc>
      </w:tr>
      <w:tr w:rsidR="00974750" w:rsidRPr="00476FA8" w14:paraId="566EB828" w14:textId="77777777" w:rsidTr="0026182B">
        <w:trPr>
          <w:trHeight w:val="317"/>
        </w:trPr>
        <w:tc>
          <w:tcPr>
            <w:tcW w:w="3256" w:type="dxa"/>
            <w:vMerge/>
          </w:tcPr>
          <w:p w14:paraId="712E5AAC" w14:textId="77777777" w:rsidR="00974750" w:rsidRPr="00476FA8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A597564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14:paraId="74F94F5F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14:paraId="1B66EBBF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60-64</w:t>
            </w:r>
          </w:p>
        </w:tc>
      </w:tr>
      <w:tr w:rsidR="00974750" w:rsidRPr="00476FA8" w14:paraId="5D7F48A2" w14:textId="77777777" w:rsidTr="0026182B">
        <w:trPr>
          <w:trHeight w:val="317"/>
        </w:trPr>
        <w:tc>
          <w:tcPr>
            <w:tcW w:w="3256" w:type="dxa"/>
            <w:vMerge/>
          </w:tcPr>
          <w:p w14:paraId="709BB217" w14:textId="77777777" w:rsidR="00974750" w:rsidRPr="00476FA8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00C1B36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14:paraId="0B7CAE07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14:paraId="492CF9FD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55-59</w:t>
            </w:r>
          </w:p>
        </w:tc>
      </w:tr>
      <w:tr w:rsidR="00974750" w:rsidRPr="00476FA8" w14:paraId="0F4650D0" w14:textId="77777777" w:rsidTr="0026182B">
        <w:trPr>
          <w:trHeight w:val="317"/>
        </w:trPr>
        <w:tc>
          <w:tcPr>
            <w:tcW w:w="3256" w:type="dxa"/>
            <w:vMerge/>
          </w:tcPr>
          <w:p w14:paraId="77125400" w14:textId="77777777" w:rsidR="00974750" w:rsidRPr="00476FA8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52D8C73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14:paraId="0F71C26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14:paraId="1A3C1D8C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50-54</w:t>
            </w:r>
          </w:p>
        </w:tc>
      </w:tr>
      <w:tr w:rsidR="00974750" w:rsidRPr="00476FA8" w14:paraId="2C4533D1" w14:textId="77777777" w:rsidTr="0026182B">
        <w:tc>
          <w:tcPr>
            <w:tcW w:w="3256" w:type="dxa"/>
            <w:vMerge w:val="restart"/>
          </w:tcPr>
          <w:p w14:paraId="179703F2" w14:textId="77777777" w:rsidR="00974750" w:rsidRPr="00476FA8" w:rsidRDefault="00974750" w:rsidP="0026182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76FA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76FA8">
              <w:rPr>
                <w:color w:val="000000"/>
                <w:sz w:val="24"/>
                <w:szCs w:val="24"/>
              </w:rPr>
              <w:t>қанағаттанарлық</w:t>
            </w:r>
            <w:proofErr w:type="spellEnd"/>
            <w:r w:rsidRPr="00476FA8">
              <w:rPr>
                <w:color w:val="000000"/>
                <w:sz w:val="24"/>
                <w:szCs w:val="24"/>
                <w:lang w:val="kk-KZ"/>
              </w:rPr>
              <w:t xml:space="preserve"> емес</w:t>
            </w:r>
            <w:r w:rsidRPr="00476FA8">
              <w:rPr>
                <w:color w:val="000000"/>
                <w:sz w:val="24"/>
                <w:szCs w:val="24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177F203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14:paraId="03040539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14:paraId="4C491F5E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25-49</w:t>
            </w:r>
          </w:p>
        </w:tc>
      </w:tr>
      <w:tr w:rsidR="00974750" w:rsidRPr="00476FA8" w14:paraId="0D64653F" w14:textId="77777777" w:rsidTr="0026182B">
        <w:tc>
          <w:tcPr>
            <w:tcW w:w="3256" w:type="dxa"/>
            <w:vMerge/>
          </w:tcPr>
          <w:p w14:paraId="75E19B29" w14:textId="77777777" w:rsidR="00974750" w:rsidRPr="00476FA8" w:rsidRDefault="00974750" w:rsidP="0026182B">
            <w:pPr>
              <w:ind w:hanging="33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B0A639C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14:paraId="089C5149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6FE70980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0-24</w:t>
            </w:r>
          </w:p>
        </w:tc>
      </w:tr>
    </w:tbl>
    <w:p w14:paraId="5F8CCB2C" w14:textId="77777777" w:rsidR="00974750" w:rsidRPr="00476FA8" w:rsidRDefault="00974750" w:rsidP="00974750">
      <w:pPr>
        <w:jc w:val="both"/>
        <w:rPr>
          <w:b/>
          <w:color w:val="000000"/>
          <w:sz w:val="24"/>
          <w:szCs w:val="24"/>
        </w:rPr>
      </w:pPr>
    </w:p>
    <w:p w14:paraId="375B340C" w14:textId="77777777" w:rsidR="00974750" w:rsidRPr="00476FA8" w:rsidRDefault="00974750" w:rsidP="00974750">
      <w:pPr>
        <w:jc w:val="both"/>
        <w:rPr>
          <w:b/>
          <w:sz w:val="24"/>
          <w:szCs w:val="24"/>
        </w:rPr>
      </w:pPr>
    </w:p>
    <w:p w14:paraId="40E87AC3" w14:textId="77777777" w:rsidR="00974750" w:rsidRPr="00476FA8" w:rsidRDefault="00974750" w:rsidP="00974750">
      <w:pPr>
        <w:rPr>
          <w:sz w:val="24"/>
          <w:szCs w:val="24"/>
        </w:rPr>
      </w:pPr>
    </w:p>
    <w:p w14:paraId="31BA72D7" w14:textId="77777777" w:rsidR="003D2662" w:rsidRPr="00476FA8" w:rsidRDefault="003D2662" w:rsidP="00974750">
      <w:pPr>
        <w:jc w:val="center"/>
        <w:rPr>
          <w:sz w:val="24"/>
          <w:szCs w:val="24"/>
        </w:rPr>
      </w:pPr>
    </w:p>
    <w:sectPr w:rsidR="003D2662" w:rsidRPr="0047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44B6"/>
    <w:multiLevelType w:val="multilevel"/>
    <w:tmpl w:val="D38A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D0AB9"/>
    <w:multiLevelType w:val="hybridMultilevel"/>
    <w:tmpl w:val="F896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E787B"/>
    <w:multiLevelType w:val="hybridMultilevel"/>
    <w:tmpl w:val="BBFAD7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18C62A8"/>
    <w:multiLevelType w:val="hybridMultilevel"/>
    <w:tmpl w:val="280A6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30"/>
  </w:num>
  <w:num w:numId="8">
    <w:abstractNumId w:val="34"/>
  </w:num>
  <w:num w:numId="9">
    <w:abstractNumId w:val="23"/>
  </w:num>
  <w:num w:numId="10">
    <w:abstractNumId w:val="10"/>
  </w:num>
  <w:num w:numId="11">
    <w:abstractNumId w:val="3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0"/>
  </w:num>
  <w:num w:numId="17">
    <w:abstractNumId w:val="8"/>
  </w:num>
  <w:num w:numId="18">
    <w:abstractNumId w:val="22"/>
  </w:num>
  <w:num w:numId="19">
    <w:abstractNumId w:val="13"/>
  </w:num>
  <w:num w:numId="20">
    <w:abstractNumId w:val="25"/>
  </w:num>
  <w:num w:numId="21">
    <w:abstractNumId w:val="1"/>
  </w:num>
  <w:num w:numId="22">
    <w:abstractNumId w:val="35"/>
  </w:num>
  <w:num w:numId="23">
    <w:abstractNumId w:val="32"/>
  </w:num>
  <w:num w:numId="24">
    <w:abstractNumId w:val="24"/>
  </w:num>
  <w:num w:numId="25">
    <w:abstractNumId w:val="11"/>
  </w:num>
  <w:num w:numId="26">
    <w:abstractNumId w:val="4"/>
  </w:num>
  <w:num w:numId="27">
    <w:abstractNumId w:val="26"/>
  </w:num>
  <w:num w:numId="28">
    <w:abstractNumId w:val="21"/>
  </w:num>
  <w:num w:numId="29">
    <w:abstractNumId w:val="14"/>
  </w:num>
  <w:num w:numId="30">
    <w:abstractNumId w:val="5"/>
  </w:num>
  <w:num w:numId="31">
    <w:abstractNumId w:val="3"/>
  </w:num>
  <w:num w:numId="32">
    <w:abstractNumId w:val="19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30B0E"/>
    <w:rsid w:val="00034275"/>
    <w:rsid w:val="001638BD"/>
    <w:rsid w:val="00191708"/>
    <w:rsid w:val="001F1972"/>
    <w:rsid w:val="0026564B"/>
    <w:rsid w:val="002771EA"/>
    <w:rsid w:val="002D594D"/>
    <w:rsid w:val="003D2662"/>
    <w:rsid w:val="00476FA8"/>
    <w:rsid w:val="0047765C"/>
    <w:rsid w:val="00477B6D"/>
    <w:rsid w:val="004976C5"/>
    <w:rsid w:val="004D0319"/>
    <w:rsid w:val="004E5E61"/>
    <w:rsid w:val="005D6819"/>
    <w:rsid w:val="005F3371"/>
    <w:rsid w:val="00606EA5"/>
    <w:rsid w:val="007223D3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36E25"/>
    <w:rsid w:val="00974750"/>
    <w:rsid w:val="00994A43"/>
    <w:rsid w:val="009F1E5E"/>
    <w:rsid w:val="009F5487"/>
    <w:rsid w:val="00A51EDE"/>
    <w:rsid w:val="00A52B9F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A3580"/>
    <w:rsid w:val="00BB3E70"/>
    <w:rsid w:val="00CB597D"/>
    <w:rsid w:val="00D022FF"/>
    <w:rsid w:val="00D31421"/>
    <w:rsid w:val="00D5273B"/>
    <w:rsid w:val="00E134D1"/>
    <w:rsid w:val="00E25F3B"/>
    <w:rsid w:val="00E35799"/>
    <w:rsid w:val="00EC0D1A"/>
    <w:rsid w:val="00EC3023"/>
    <w:rsid w:val="00F51FF5"/>
    <w:rsid w:val="00F9764E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CD3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Аузбаева Асель</cp:lastModifiedBy>
  <cp:revision>2</cp:revision>
  <cp:lastPrinted>2020-12-03T05:24:00Z</cp:lastPrinted>
  <dcterms:created xsi:type="dcterms:W3CDTF">2021-11-22T10:19:00Z</dcterms:created>
  <dcterms:modified xsi:type="dcterms:W3CDTF">2021-11-22T10:19:00Z</dcterms:modified>
</cp:coreProperties>
</file>